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76DE3" w:rsidRDefault="00000000">
      <w:pPr>
        <w:spacing w:after="80"/>
      </w:pPr>
      <w:r>
        <w:rPr>
          <w:b/>
          <w:bCs/>
          <w:caps/>
          <w:color w:val="97BC62"/>
          <w:spacing w:val="40"/>
          <w:sz w:val="20"/>
          <w:szCs w:val="20"/>
        </w:rPr>
        <w:t>InclusiGardens · Windowsill Wonders</w:t>
      </w:r>
    </w:p>
    <w:p w:rsidR="00D76DE3" w:rsidRDefault="00000000">
      <w:pPr>
        <w:spacing w:after="120"/>
      </w:pPr>
      <w:r>
        <w:rPr>
          <w:b/>
          <w:bCs/>
          <w:color w:val="2C5F2D"/>
          <w:sz w:val="44"/>
          <w:szCs w:val="44"/>
        </w:rPr>
        <w:t>Game Rules</w:t>
      </w:r>
    </w:p>
    <w:p w:rsidR="00D76DE3" w:rsidRDefault="00000000">
      <w:pPr>
        <w:pBdr>
          <w:bottom w:val="single" w:sz="12" w:space="8" w:color="2C5F2D"/>
        </w:pBdr>
        <w:spacing w:after="280"/>
      </w:pPr>
      <w:r>
        <w:rPr>
          <w:i/>
          <w:iCs/>
          <w:color w:val="5C6B5C"/>
        </w:rPr>
        <w:t>Micro urban gardens, macro green effects.</w:t>
      </w:r>
    </w:p>
    <w:p w:rsidR="00D76DE3" w:rsidRDefault="00000000">
      <w:pPr>
        <w:spacing w:after="120" w:line="300" w:lineRule="auto"/>
        <w:jc w:val="both"/>
      </w:pPr>
      <w:r>
        <w:rPr>
          <w:color w:val="1F2A1F"/>
        </w:rPr>
        <w:t xml:space="preserve">Welcome to Windowsill Wonders! Here, you’re not competing against each other. You’re a team of urban gardeners working together to build the best possible </w:t>
      </w:r>
      <w:proofErr w:type="spellStart"/>
      <w:r>
        <w:rPr>
          <w:color w:val="1F2A1F"/>
        </w:rPr>
        <w:t>microgardens</w:t>
      </w:r>
      <w:proofErr w:type="spellEnd"/>
      <w:r>
        <w:rPr>
          <w:color w:val="1F2A1F"/>
        </w:rPr>
        <w:t xml:space="preserve"> on your windowsills. Your goal is to collect matching sets of gardening supplies and resources to earn points. If your team’s combined points reach the target score before the season ends — you all win.</w:t>
      </w:r>
    </w:p>
    <w:tbl>
      <w:tblPr>
        <w:tblW w:w="9026" w:type="dxa"/>
        <w:tblBorders>
          <w:top w:val="single" w:sz="6" w:space="0" w:color="97BC62"/>
          <w:left w:val="single" w:sz="6" w:space="0" w:color="97BC62"/>
          <w:bottom w:val="single" w:sz="6" w:space="0" w:color="97BC62"/>
          <w:right w:val="single" w:sz="6" w:space="0" w:color="97BC62"/>
          <w:insideH w:val="none" w:sz="0" w:space="0" w:color="FFFFFF"/>
          <w:insideV w:val="none" w:sz="0" w:space="0" w:color="FFFFFF"/>
        </w:tblBorders>
        <w:tblCellMar>
          <w:left w:w="10" w:type="dxa"/>
          <w:right w:w="10" w:type="dxa"/>
        </w:tblCellMar>
        <w:tblLook w:val="0000" w:firstRow="0" w:lastRow="0" w:firstColumn="0" w:lastColumn="0" w:noHBand="0" w:noVBand="0"/>
      </w:tblPr>
      <w:tblGrid>
        <w:gridCol w:w="9026"/>
      </w:tblGrid>
      <w:tr w:rsidR="00D76DE3">
        <w:tblPrEx>
          <w:tblCellMar>
            <w:top w:w="0" w:type="dxa"/>
            <w:bottom w:w="0" w:type="dxa"/>
          </w:tblCellMar>
        </w:tblPrEx>
        <w:tc>
          <w:tcPr>
            <w:tcW w:w="9026" w:type="dxa"/>
            <w:shd w:val="clear" w:color="auto" w:fill="EDF2E1"/>
            <w:tcMar>
              <w:top w:w="200" w:type="dxa"/>
              <w:left w:w="240" w:type="dxa"/>
              <w:bottom w:w="200" w:type="dxa"/>
              <w:right w:w="240" w:type="dxa"/>
            </w:tcMar>
          </w:tcPr>
          <w:p w:rsidR="00D76DE3" w:rsidRDefault="00000000">
            <w:pPr>
              <w:spacing w:after="100" w:line="290" w:lineRule="auto"/>
            </w:pPr>
            <w:r>
              <w:rPr>
                <w:b/>
                <w:bCs/>
                <w:color w:val="2C5F2D"/>
              </w:rPr>
              <w:t>At a glance</w:t>
            </w:r>
          </w:p>
          <w:p w:rsidR="00D76DE3" w:rsidRDefault="00000000">
            <w:pPr>
              <w:pStyle w:val="ListParagraph"/>
              <w:numPr>
                <w:ilvl w:val="0"/>
                <w:numId w:val="2"/>
              </w:numPr>
              <w:spacing w:after="60" w:line="290" w:lineRule="auto"/>
            </w:pPr>
            <w:r>
              <w:rPr>
                <w:color w:val="1F2A1F"/>
              </w:rPr>
              <w:t>Cooperative game — you win or lose as a team.</w:t>
            </w:r>
          </w:p>
          <w:p w:rsidR="00D76DE3" w:rsidRDefault="00000000">
            <w:pPr>
              <w:pStyle w:val="ListParagraph"/>
              <w:numPr>
                <w:ilvl w:val="0"/>
                <w:numId w:val="2"/>
              </w:numPr>
              <w:spacing w:after="60" w:line="290" w:lineRule="auto"/>
            </w:pPr>
            <w:r>
              <w:rPr>
                <w:color w:val="1F2A1F"/>
              </w:rPr>
              <w:t>Target score: choose 80 (easier), 100 (medium) or 120 (harder).</w:t>
            </w:r>
          </w:p>
          <w:p w:rsidR="00D76DE3" w:rsidRDefault="00000000">
            <w:pPr>
              <w:pStyle w:val="ListParagraph"/>
              <w:numPr>
                <w:ilvl w:val="0"/>
                <w:numId w:val="2"/>
              </w:numPr>
              <w:spacing w:after="60" w:line="290" w:lineRule="auto"/>
            </w:pPr>
            <w:r>
              <w:rPr>
                <w:color w:val="1F2A1F"/>
              </w:rPr>
              <w:t>The game lasts up to 20 “weeks” (turns).</w:t>
            </w:r>
          </w:p>
          <w:p w:rsidR="00D76DE3" w:rsidRDefault="00000000">
            <w:pPr>
              <w:pStyle w:val="ListParagraph"/>
              <w:numPr>
                <w:ilvl w:val="0"/>
                <w:numId w:val="2"/>
              </w:numPr>
              <w:spacing w:after="60" w:line="290" w:lineRule="auto"/>
            </w:pPr>
            <w:r>
              <w:rPr>
                <w:color w:val="1F2A1F"/>
              </w:rPr>
              <w:t xml:space="preserve">Each week, 4 new resource cards are revealed at the </w:t>
            </w:r>
            <w:proofErr w:type="spellStart"/>
            <w:r>
              <w:rPr>
                <w:color w:val="1F2A1F"/>
              </w:rPr>
              <w:t>centre</w:t>
            </w:r>
            <w:proofErr w:type="spellEnd"/>
            <w:r>
              <w:rPr>
                <w:color w:val="1F2A1F"/>
              </w:rPr>
              <w:t xml:space="preserve"> of the table.</w:t>
            </w:r>
          </w:p>
          <w:p w:rsidR="00D76DE3" w:rsidRDefault="00000000">
            <w:pPr>
              <w:pStyle w:val="ListParagraph"/>
              <w:numPr>
                <w:ilvl w:val="0"/>
                <w:numId w:val="2"/>
              </w:numPr>
              <w:spacing w:line="290" w:lineRule="auto"/>
            </w:pPr>
            <w:r>
              <w:rPr>
                <w:color w:val="1F2A1F"/>
              </w:rPr>
              <w:t>Points come from sets of matching cards — the bigger the set, the more it’s worth.</w:t>
            </w:r>
          </w:p>
        </w:tc>
      </w:tr>
    </w:tbl>
    <w:p w:rsidR="00D76DE3" w:rsidRDefault="00D76DE3"/>
    <w:p w:rsidR="00D76DE3" w:rsidRDefault="00000000">
      <w:pPr>
        <w:pBdr>
          <w:bottom w:val="single" w:sz="8" w:space="4" w:color="97BC62"/>
        </w:pBdr>
        <w:spacing w:before="380" w:after="140"/>
      </w:pPr>
      <w:r>
        <w:rPr>
          <w:b/>
          <w:bCs/>
          <w:color w:val="2C5F2D"/>
          <w:sz w:val="28"/>
          <w:szCs w:val="28"/>
        </w:rPr>
        <w:t>Setup and Components</w:t>
      </w:r>
    </w:p>
    <w:p w:rsidR="00D76DE3" w:rsidRDefault="00000000">
      <w:pPr>
        <w:spacing w:after="120" w:line="300" w:lineRule="auto"/>
        <w:jc w:val="both"/>
      </w:pPr>
      <w:r>
        <w:rPr>
          <w:color w:val="1F2A1F"/>
        </w:rPr>
        <w:t xml:space="preserve">In front of you is your Windowsill — your personal play area, where you’ll arrange the </w:t>
      </w:r>
      <w:proofErr w:type="gramStart"/>
      <w:r>
        <w:rPr>
          <w:color w:val="1F2A1F"/>
        </w:rPr>
        <w:t>cards</w:t>
      </w:r>
      <w:proofErr w:type="gramEnd"/>
      <w:r>
        <w:rPr>
          <w:color w:val="1F2A1F"/>
        </w:rPr>
        <w:t xml:space="preserve"> you earn during the game. In your hand are 4 Planning Cards numbered 1, 2, 3 and 4. You’ll use them to secretly choose which community resource station to visit each week.</w:t>
      </w:r>
    </w:p>
    <w:p w:rsidR="00D76DE3" w:rsidRDefault="00000000">
      <w:pPr>
        <w:spacing w:after="120" w:line="300" w:lineRule="auto"/>
        <w:jc w:val="both"/>
      </w:pPr>
      <w:r>
        <w:rPr>
          <w:color w:val="1F2A1F"/>
        </w:rPr>
        <w:t xml:space="preserve">At the </w:t>
      </w:r>
      <w:proofErr w:type="spellStart"/>
      <w:r>
        <w:rPr>
          <w:color w:val="1F2A1F"/>
        </w:rPr>
        <w:t>centre</w:t>
      </w:r>
      <w:proofErr w:type="spellEnd"/>
      <w:r>
        <w:rPr>
          <w:color w:val="1F2A1F"/>
        </w:rPr>
        <w:t xml:space="preserve"> of the table are 4 station markers (1, 2, 3, 4). Each week, 4 new resource cards are placed below them — your weekly “farmer’s market”.</w:t>
      </w:r>
    </w:p>
    <w:p w:rsidR="00D76DE3" w:rsidRDefault="00000000">
      <w:pPr>
        <w:pBdr>
          <w:bottom w:val="single" w:sz="8" w:space="4" w:color="97BC62"/>
        </w:pBdr>
        <w:spacing w:before="380" w:after="140"/>
      </w:pPr>
      <w:r>
        <w:rPr>
          <w:b/>
          <w:bCs/>
          <w:color w:val="2C5F2D"/>
          <w:sz w:val="28"/>
          <w:szCs w:val="28"/>
        </w:rPr>
        <w:t>The Week in 4 Steps</w:t>
      </w:r>
    </w:p>
    <w:p w:rsidR="00D76DE3" w:rsidRDefault="00000000">
      <w:pPr>
        <w:spacing w:after="120" w:line="300" w:lineRule="auto"/>
        <w:jc w:val="both"/>
      </w:pPr>
      <w:r>
        <w:rPr>
          <w:color w:val="1F2A1F"/>
        </w:rPr>
        <w:t>The game is played in weekly turns. Each week, everyone goes through the same four steps:</w:t>
      </w:r>
    </w:p>
    <w:p w:rsidR="00D76DE3" w:rsidRDefault="00000000">
      <w:pPr>
        <w:spacing w:before="260" w:after="60"/>
      </w:pPr>
      <w:r>
        <w:rPr>
          <w:b/>
          <w:bCs/>
          <w:color w:val="97BC62"/>
        </w:rPr>
        <w:t xml:space="preserve">Step </w:t>
      </w:r>
      <w:proofErr w:type="gramStart"/>
      <w:r>
        <w:rPr>
          <w:b/>
          <w:bCs/>
          <w:color w:val="97BC62"/>
        </w:rPr>
        <w:t>1  ·</w:t>
      </w:r>
      <w:proofErr w:type="gramEnd"/>
      <w:r>
        <w:rPr>
          <w:b/>
          <w:bCs/>
          <w:color w:val="97BC62"/>
        </w:rPr>
        <w:t xml:space="preserve">  </w:t>
      </w:r>
      <w:r>
        <w:rPr>
          <w:b/>
          <w:bCs/>
          <w:color w:val="1F2A1F"/>
          <w:sz w:val="24"/>
          <w:szCs w:val="24"/>
        </w:rPr>
        <w:t>Plan your visit</w:t>
      </w:r>
    </w:p>
    <w:p w:rsidR="00D76DE3" w:rsidRDefault="00000000">
      <w:pPr>
        <w:spacing w:after="120" w:line="300" w:lineRule="auto"/>
        <w:jc w:val="both"/>
      </w:pPr>
      <w:r>
        <w:rPr>
          <w:color w:val="1F2A1F"/>
        </w:rPr>
        <w:t xml:space="preserve">Look at the 4 new resource cards in the </w:t>
      </w:r>
      <w:proofErr w:type="spellStart"/>
      <w:r>
        <w:rPr>
          <w:color w:val="1F2A1F"/>
        </w:rPr>
        <w:t>centre</w:t>
      </w:r>
      <w:proofErr w:type="spellEnd"/>
      <w:r>
        <w:rPr>
          <w:color w:val="1F2A1F"/>
        </w:rPr>
        <w:t xml:space="preserve"> of the table and decide which one you need most for your Windowsill. From your hand, secretly choose the Planning Card whose number matches the station you want to visit (1, 2, 3 or 4) and place it face-down in front of you. When everyone is ready, flip your Planning Cards over at the same time.</w:t>
      </w:r>
    </w:p>
    <w:p w:rsidR="00D76DE3" w:rsidRDefault="00000000">
      <w:pPr>
        <w:spacing w:before="260" w:after="60"/>
      </w:pPr>
      <w:r>
        <w:rPr>
          <w:b/>
          <w:bCs/>
          <w:color w:val="97BC62"/>
        </w:rPr>
        <w:t xml:space="preserve">Step </w:t>
      </w:r>
      <w:proofErr w:type="gramStart"/>
      <w:r>
        <w:rPr>
          <w:b/>
          <w:bCs/>
          <w:color w:val="97BC62"/>
        </w:rPr>
        <w:t>2  ·</w:t>
      </w:r>
      <w:proofErr w:type="gramEnd"/>
      <w:r>
        <w:rPr>
          <w:b/>
          <w:bCs/>
          <w:color w:val="97BC62"/>
        </w:rPr>
        <w:t xml:space="preserve">  </w:t>
      </w:r>
      <w:r>
        <w:rPr>
          <w:b/>
          <w:bCs/>
          <w:color w:val="1F2A1F"/>
          <w:sz w:val="24"/>
          <w:szCs w:val="24"/>
        </w:rPr>
        <w:t>Claim resources — or negotiate</w:t>
      </w:r>
    </w:p>
    <w:p w:rsidR="00D76DE3" w:rsidRDefault="00000000">
      <w:pPr>
        <w:spacing w:after="120" w:line="300" w:lineRule="auto"/>
        <w:jc w:val="both"/>
      </w:pPr>
      <w:r>
        <w:rPr>
          <w:color w:val="1F2A1F"/>
        </w:rPr>
        <w:t>Depending on whether you alone picked that station or not, two scenarios are possible:</w:t>
      </w:r>
    </w:p>
    <w:p w:rsidR="00D76DE3" w:rsidRDefault="00000000">
      <w:pPr>
        <w:pStyle w:val="ListParagraph"/>
        <w:numPr>
          <w:ilvl w:val="0"/>
          <w:numId w:val="3"/>
        </w:numPr>
        <w:spacing w:after="80" w:line="290" w:lineRule="auto"/>
      </w:pPr>
      <w:r>
        <w:rPr>
          <w:b/>
          <w:bCs/>
          <w:color w:val="1F2A1F"/>
        </w:rPr>
        <w:lastRenderedPageBreak/>
        <w:t xml:space="preserve">Unique choice: </w:t>
      </w:r>
      <w:r>
        <w:rPr>
          <w:color w:val="1F2A1F"/>
        </w:rPr>
        <w:t>If you’re the only one who picked that station, take its card and add it to your Windowsill.</w:t>
      </w:r>
    </w:p>
    <w:p w:rsidR="00D76DE3" w:rsidRDefault="00000000">
      <w:pPr>
        <w:pStyle w:val="ListParagraph"/>
        <w:numPr>
          <w:ilvl w:val="0"/>
          <w:numId w:val="3"/>
        </w:numPr>
        <w:spacing w:after="80" w:line="290" w:lineRule="auto"/>
      </w:pPr>
      <w:r>
        <w:rPr>
          <w:b/>
          <w:bCs/>
          <w:color w:val="1F2A1F"/>
        </w:rPr>
        <w:t xml:space="preserve">Two players, same station: </w:t>
      </w:r>
      <w:r>
        <w:rPr>
          <w:color w:val="1F2A1F"/>
        </w:rPr>
        <w:t>If exactly two players picked the same station, community resources are limited. Negotiate using a quick game of Rock-Paper-Scissors: on the count of 1–2–3, both players reveal at the same time. The winner takes the card they wanted, and the other player takes the remaining card from the same station. Every player always gets one card per turn.</w:t>
      </w:r>
    </w:p>
    <w:p w:rsidR="00D76DE3" w:rsidRDefault="00000000">
      <w:pPr>
        <w:spacing w:before="260" w:after="60"/>
      </w:pPr>
      <w:r>
        <w:rPr>
          <w:b/>
          <w:bCs/>
          <w:color w:val="97BC62"/>
        </w:rPr>
        <w:t xml:space="preserve">Step </w:t>
      </w:r>
      <w:proofErr w:type="gramStart"/>
      <w:r>
        <w:rPr>
          <w:b/>
          <w:bCs/>
          <w:color w:val="97BC62"/>
        </w:rPr>
        <w:t>3  ·</w:t>
      </w:r>
      <w:proofErr w:type="gramEnd"/>
      <w:r>
        <w:rPr>
          <w:b/>
          <w:bCs/>
          <w:color w:val="97BC62"/>
        </w:rPr>
        <w:t xml:space="preserve">  </w:t>
      </w:r>
      <w:r>
        <w:rPr>
          <w:b/>
          <w:bCs/>
          <w:color w:val="1F2A1F"/>
          <w:sz w:val="24"/>
          <w:szCs w:val="24"/>
        </w:rPr>
        <w:t>Crowded stations</w:t>
      </w:r>
    </w:p>
    <w:p w:rsidR="00D76DE3" w:rsidRDefault="00000000">
      <w:pPr>
        <w:spacing w:after="120" w:line="300" w:lineRule="auto"/>
        <w:jc w:val="both"/>
      </w:pPr>
      <w:r>
        <w:rPr>
          <w:color w:val="1F2A1F"/>
        </w:rPr>
        <w:t>If three or four players picked the same station, it’s too crowded and a re-pick is needed:</w:t>
      </w:r>
    </w:p>
    <w:p w:rsidR="00D76DE3" w:rsidRDefault="00000000">
      <w:pPr>
        <w:pStyle w:val="ListParagraph"/>
        <w:numPr>
          <w:ilvl w:val="0"/>
          <w:numId w:val="3"/>
        </w:numPr>
        <w:spacing w:after="80" w:line="290" w:lineRule="auto"/>
      </w:pPr>
      <w:r>
        <w:rPr>
          <w:color w:val="1F2A1F"/>
        </w:rPr>
        <w:t>Anyone who picked a unique station takes their card normally.</w:t>
      </w:r>
    </w:p>
    <w:p w:rsidR="00D76DE3" w:rsidRDefault="00000000">
      <w:pPr>
        <w:pStyle w:val="ListParagraph"/>
        <w:numPr>
          <w:ilvl w:val="0"/>
          <w:numId w:val="3"/>
        </w:numPr>
        <w:spacing w:after="80" w:line="290" w:lineRule="auto"/>
      </w:pPr>
      <w:r>
        <w:rPr>
          <w:color w:val="1F2A1F"/>
        </w:rPr>
        <w:t>Players in the crowd take their Planning Cards back into their hand and choose again from the stations that remain.</w:t>
      </w:r>
    </w:p>
    <w:p w:rsidR="00D76DE3" w:rsidRDefault="00000000">
      <w:pPr>
        <w:pStyle w:val="ListParagraph"/>
        <w:numPr>
          <w:ilvl w:val="0"/>
          <w:numId w:val="3"/>
        </w:numPr>
        <w:spacing w:after="80" w:line="290" w:lineRule="auto"/>
      </w:pPr>
      <w:r>
        <w:rPr>
          <w:color w:val="1F2A1F"/>
        </w:rPr>
        <w:t>Flip your new choices at the same time. If the crowd persists, repeat — or, once only two players are tied on the same station, resolve through Rock-Paper-Scissors.</w:t>
      </w:r>
    </w:p>
    <w:p w:rsidR="00D76DE3" w:rsidRDefault="00000000">
      <w:pPr>
        <w:spacing w:before="260" w:after="60"/>
      </w:pPr>
      <w:r>
        <w:rPr>
          <w:b/>
          <w:bCs/>
          <w:color w:val="97BC62"/>
        </w:rPr>
        <w:t xml:space="preserve">Step </w:t>
      </w:r>
      <w:proofErr w:type="gramStart"/>
      <w:r>
        <w:rPr>
          <w:b/>
          <w:bCs/>
          <w:color w:val="97BC62"/>
        </w:rPr>
        <w:t>4  ·</w:t>
      </w:r>
      <w:proofErr w:type="gramEnd"/>
      <w:r>
        <w:rPr>
          <w:b/>
          <w:bCs/>
          <w:color w:val="97BC62"/>
        </w:rPr>
        <w:t xml:space="preserve">  </w:t>
      </w:r>
      <w:r>
        <w:rPr>
          <w:b/>
          <w:bCs/>
          <w:color w:val="1F2A1F"/>
          <w:sz w:val="24"/>
          <w:szCs w:val="24"/>
        </w:rPr>
        <w:t>Restock the stations</w:t>
      </w:r>
    </w:p>
    <w:p w:rsidR="00D76DE3" w:rsidRDefault="00000000">
      <w:pPr>
        <w:spacing w:after="120" w:line="300" w:lineRule="auto"/>
        <w:jc w:val="both"/>
      </w:pPr>
      <w:r>
        <w:rPr>
          <w:color w:val="1F2A1F"/>
        </w:rPr>
        <w:t>Once everyone has placed one new card on their Windowsill, the week is over. The facilitator then reveals 4 new resource cards under the station markers, and the next week begins.</w:t>
      </w:r>
    </w:p>
    <w:p w:rsidR="00D76DE3" w:rsidRDefault="00000000">
      <w:pPr>
        <w:pBdr>
          <w:bottom w:val="single" w:sz="8" w:space="4" w:color="97BC62"/>
        </w:pBdr>
        <w:spacing w:before="380" w:after="140"/>
      </w:pPr>
      <w:r>
        <w:rPr>
          <w:b/>
          <w:bCs/>
          <w:color w:val="2C5F2D"/>
          <w:sz w:val="28"/>
          <w:szCs w:val="28"/>
        </w:rPr>
        <w:t>Scoring</w:t>
      </w:r>
    </w:p>
    <w:p w:rsidR="00D76DE3" w:rsidRDefault="00000000">
      <w:pPr>
        <w:spacing w:after="120" w:line="300" w:lineRule="auto"/>
        <w:jc w:val="both"/>
      </w:pPr>
      <w:r>
        <w:rPr>
          <w:color w:val="1F2A1F"/>
        </w:rPr>
        <w:t>You earn points by collecting matching resource cards into sets (for example, 3 Terracotta Pots or 2 Cherry Tomato Seeds). Keep cards from the same set grouped together on your Windowsill. The bigger the set, the disproportionately more it’s worth — so it pays to commit to complete sets rather than spreading your investment thin.</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513"/>
        <w:gridCol w:w="4513"/>
      </w:tblGrid>
      <w:tr w:rsidR="00D76DE3">
        <w:tblPrEx>
          <w:tblCellMar>
            <w:top w:w="0" w:type="dxa"/>
            <w:bottom w:w="0" w:type="dxa"/>
          </w:tblCellMar>
        </w:tblPrEx>
        <w:trPr>
          <w:tblHeader/>
        </w:trPr>
        <w:tc>
          <w:tcPr>
            <w:tcW w:w="4513" w:type="dxa"/>
            <w:tcBorders>
              <w:top w:val="single" w:sz="4" w:space="0" w:color="D6DBC9"/>
              <w:left w:val="single" w:sz="4" w:space="0" w:color="D6DBC9"/>
              <w:bottom w:val="single" w:sz="4" w:space="0" w:color="D6DBC9"/>
              <w:right w:val="single" w:sz="4" w:space="0" w:color="D6DBC9"/>
            </w:tcBorders>
            <w:shd w:val="clear" w:color="auto" w:fill="D6DBC9"/>
            <w:tcMar>
              <w:top w:w="120" w:type="dxa"/>
              <w:left w:w="160" w:type="dxa"/>
              <w:bottom w:w="120" w:type="dxa"/>
              <w:right w:w="160" w:type="dxa"/>
            </w:tcMar>
            <w:vAlign w:val="center"/>
          </w:tcPr>
          <w:p w:rsidR="00D76DE3" w:rsidRDefault="00000000">
            <w:r>
              <w:rPr>
                <w:b/>
                <w:bCs/>
                <w:color w:val="2C5F2D"/>
              </w:rPr>
              <w:t>Your set</w:t>
            </w:r>
          </w:p>
        </w:tc>
        <w:tc>
          <w:tcPr>
            <w:tcW w:w="4513" w:type="dxa"/>
            <w:tcBorders>
              <w:top w:val="single" w:sz="4" w:space="0" w:color="D6DBC9"/>
              <w:left w:val="single" w:sz="4" w:space="0" w:color="D6DBC9"/>
              <w:bottom w:val="single" w:sz="4" w:space="0" w:color="D6DBC9"/>
              <w:right w:val="single" w:sz="4" w:space="0" w:color="D6DBC9"/>
            </w:tcBorders>
            <w:shd w:val="clear" w:color="auto" w:fill="D6DBC9"/>
            <w:tcMar>
              <w:top w:w="120" w:type="dxa"/>
              <w:left w:w="160" w:type="dxa"/>
              <w:bottom w:w="120" w:type="dxa"/>
              <w:right w:w="160" w:type="dxa"/>
            </w:tcMar>
            <w:vAlign w:val="center"/>
          </w:tcPr>
          <w:p w:rsidR="00D76DE3" w:rsidRDefault="00000000">
            <w:r>
              <w:rPr>
                <w:b/>
                <w:bCs/>
                <w:color w:val="2C5F2D"/>
              </w:rPr>
              <w:t>Worth</w:t>
            </w:r>
          </w:p>
        </w:tc>
      </w:tr>
      <w:tr w:rsidR="00D76DE3">
        <w:tblPrEx>
          <w:tblCellMar>
            <w:top w:w="0" w:type="dxa"/>
            <w:bottom w:w="0" w:type="dxa"/>
          </w:tblCellMar>
        </w:tblPrEx>
        <w:trPr>
          <w:cantSplit/>
        </w:trPr>
        <w:tc>
          <w:tcPr>
            <w:tcW w:w="4513" w:type="dxa"/>
            <w:tcBorders>
              <w:top w:val="single" w:sz="4" w:space="0" w:color="D6DBC9"/>
              <w:left w:val="single" w:sz="4" w:space="0" w:color="D6DBC9"/>
              <w:bottom w:val="single" w:sz="4" w:space="0" w:color="D6DBC9"/>
              <w:right w:val="single" w:sz="4" w:space="0" w:color="D6DBC9"/>
            </w:tcBorders>
            <w:tcMar>
              <w:top w:w="120" w:type="dxa"/>
              <w:left w:w="160" w:type="dxa"/>
              <w:bottom w:w="120" w:type="dxa"/>
              <w:right w:w="160" w:type="dxa"/>
            </w:tcMar>
            <w:vAlign w:val="center"/>
          </w:tcPr>
          <w:p w:rsidR="00D76DE3" w:rsidRDefault="00000000">
            <w:pPr>
              <w:spacing w:line="280" w:lineRule="auto"/>
            </w:pPr>
            <w:r>
              <w:rPr>
                <w:color w:val="1F2A1F"/>
              </w:rPr>
              <w:t>1 card on its own</w:t>
            </w:r>
          </w:p>
        </w:tc>
        <w:tc>
          <w:tcPr>
            <w:tcW w:w="4513" w:type="dxa"/>
            <w:tcBorders>
              <w:top w:val="single" w:sz="4" w:space="0" w:color="D6DBC9"/>
              <w:left w:val="single" w:sz="4" w:space="0" w:color="D6DBC9"/>
              <w:bottom w:val="single" w:sz="4" w:space="0" w:color="D6DBC9"/>
              <w:right w:val="single" w:sz="4" w:space="0" w:color="D6DBC9"/>
            </w:tcBorders>
            <w:tcMar>
              <w:top w:w="120" w:type="dxa"/>
              <w:left w:w="160" w:type="dxa"/>
              <w:bottom w:w="120" w:type="dxa"/>
              <w:right w:w="160" w:type="dxa"/>
            </w:tcMar>
            <w:vAlign w:val="center"/>
          </w:tcPr>
          <w:p w:rsidR="00D76DE3" w:rsidRDefault="00000000">
            <w:pPr>
              <w:spacing w:line="280" w:lineRule="auto"/>
            </w:pPr>
            <w:r>
              <w:rPr>
                <w:color w:val="1F2A1F"/>
              </w:rPr>
              <w:t>1 point</w:t>
            </w:r>
          </w:p>
        </w:tc>
      </w:tr>
      <w:tr w:rsidR="00D76DE3">
        <w:tblPrEx>
          <w:tblCellMar>
            <w:top w:w="0" w:type="dxa"/>
            <w:bottom w:w="0" w:type="dxa"/>
          </w:tblCellMar>
        </w:tblPrEx>
        <w:trPr>
          <w:cantSplit/>
        </w:trPr>
        <w:tc>
          <w:tcPr>
            <w:tcW w:w="4513" w:type="dxa"/>
            <w:tcBorders>
              <w:top w:val="single" w:sz="4" w:space="0" w:color="D6DBC9"/>
              <w:left w:val="single" w:sz="4" w:space="0" w:color="D6DBC9"/>
              <w:bottom w:val="single" w:sz="4" w:space="0" w:color="D6DBC9"/>
              <w:right w:val="single" w:sz="4" w:space="0" w:color="D6DBC9"/>
            </w:tcBorders>
            <w:tcMar>
              <w:top w:w="120" w:type="dxa"/>
              <w:left w:w="160" w:type="dxa"/>
              <w:bottom w:w="120" w:type="dxa"/>
              <w:right w:w="160" w:type="dxa"/>
            </w:tcMar>
            <w:vAlign w:val="center"/>
          </w:tcPr>
          <w:p w:rsidR="00D76DE3" w:rsidRDefault="00000000">
            <w:pPr>
              <w:spacing w:line="280" w:lineRule="auto"/>
            </w:pPr>
            <w:r>
              <w:rPr>
                <w:color w:val="1F2A1F"/>
              </w:rPr>
              <w:t>2 matching cards</w:t>
            </w:r>
          </w:p>
        </w:tc>
        <w:tc>
          <w:tcPr>
            <w:tcW w:w="4513" w:type="dxa"/>
            <w:tcBorders>
              <w:top w:val="single" w:sz="4" w:space="0" w:color="D6DBC9"/>
              <w:left w:val="single" w:sz="4" w:space="0" w:color="D6DBC9"/>
              <w:bottom w:val="single" w:sz="4" w:space="0" w:color="D6DBC9"/>
              <w:right w:val="single" w:sz="4" w:space="0" w:color="D6DBC9"/>
            </w:tcBorders>
            <w:tcMar>
              <w:top w:w="120" w:type="dxa"/>
              <w:left w:w="160" w:type="dxa"/>
              <w:bottom w:w="120" w:type="dxa"/>
              <w:right w:w="160" w:type="dxa"/>
            </w:tcMar>
            <w:vAlign w:val="center"/>
          </w:tcPr>
          <w:p w:rsidR="00D76DE3" w:rsidRDefault="00000000">
            <w:pPr>
              <w:spacing w:line="280" w:lineRule="auto"/>
            </w:pPr>
            <w:r>
              <w:rPr>
                <w:color w:val="1F2A1F"/>
              </w:rPr>
              <w:t>3 points</w:t>
            </w:r>
          </w:p>
        </w:tc>
      </w:tr>
      <w:tr w:rsidR="00D76DE3">
        <w:tblPrEx>
          <w:tblCellMar>
            <w:top w:w="0" w:type="dxa"/>
            <w:bottom w:w="0" w:type="dxa"/>
          </w:tblCellMar>
        </w:tblPrEx>
        <w:trPr>
          <w:cantSplit/>
        </w:trPr>
        <w:tc>
          <w:tcPr>
            <w:tcW w:w="4513" w:type="dxa"/>
            <w:tcBorders>
              <w:top w:val="single" w:sz="4" w:space="0" w:color="D6DBC9"/>
              <w:left w:val="single" w:sz="4" w:space="0" w:color="D6DBC9"/>
              <w:bottom w:val="single" w:sz="4" w:space="0" w:color="D6DBC9"/>
              <w:right w:val="single" w:sz="4" w:space="0" w:color="D6DBC9"/>
            </w:tcBorders>
            <w:tcMar>
              <w:top w:w="120" w:type="dxa"/>
              <w:left w:w="160" w:type="dxa"/>
              <w:bottom w:w="120" w:type="dxa"/>
              <w:right w:w="160" w:type="dxa"/>
            </w:tcMar>
            <w:vAlign w:val="center"/>
          </w:tcPr>
          <w:p w:rsidR="00D76DE3" w:rsidRDefault="00000000">
            <w:pPr>
              <w:spacing w:line="280" w:lineRule="auto"/>
            </w:pPr>
            <w:r>
              <w:rPr>
                <w:color w:val="1F2A1F"/>
              </w:rPr>
              <w:t>3 matching cards</w:t>
            </w:r>
          </w:p>
        </w:tc>
        <w:tc>
          <w:tcPr>
            <w:tcW w:w="4513" w:type="dxa"/>
            <w:tcBorders>
              <w:top w:val="single" w:sz="4" w:space="0" w:color="D6DBC9"/>
              <w:left w:val="single" w:sz="4" w:space="0" w:color="D6DBC9"/>
              <w:bottom w:val="single" w:sz="4" w:space="0" w:color="D6DBC9"/>
              <w:right w:val="single" w:sz="4" w:space="0" w:color="D6DBC9"/>
            </w:tcBorders>
            <w:tcMar>
              <w:top w:w="120" w:type="dxa"/>
              <w:left w:w="160" w:type="dxa"/>
              <w:bottom w:w="120" w:type="dxa"/>
              <w:right w:w="160" w:type="dxa"/>
            </w:tcMar>
            <w:vAlign w:val="center"/>
          </w:tcPr>
          <w:p w:rsidR="00D76DE3" w:rsidRDefault="00000000">
            <w:pPr>
              <w:spacing w:line="280" w:lineRule="auto"/>
            </w:pPr>
            <w:r>
              <w:rPr>
                <w:color w:val="1F2A1F"/>
              </w:rPr>
              <w:t>6 points</w:t>
            </w:r>
          </w:p>
        </w:tc>
      </w:tr>
      <w:tr w:rsidR="00D76DE3">
        <w:tblPrEx>
          <w:tblCellMar>
            <w:top w:w="0" w:type="dxa"/>
            <w:bottom w:w="0" w:type="dxa"/>
          </w:tblCellMar>
        </w:tblPrEx>
        <w:trPr>
          <w:cantSplit/>
        </w:trPr>
        <w:tc>
          <w:tcPr>
            <w:tcW w:w="4513" w:type="dxa"/>
            <w:tcBorders>
              <w:top w:val="single" w:sz="4" w:space="0" w:color="D6DBC9"/>
              <w:left w:val="single" w:sz="4" w:space="0" w:color="D6DBC9"/>
              <w:bottom w:val="single" w:sz="4" w:space="0" w:color="D6DBC9"/>
              <w:right w:val="single" w:sz="4" w:space="0" w:color="D6DBC9"/>
            </w:tcBorders>
            <w:tcMar>
              <w:top w:w="120" w:type="dxa"/>
              <w:left w:w="160" w:type="dxa"/>
              <w:bottom w:w="120" w:type="dxa"/>
              <w:right w:w="160" w:type="dxa"/>
            </w:tcMar>
            <w:vAlign w:val="center"/>
          </w:tcPr>
          <w:p w:rsidR="00D76DE3" w:rsidRDefault="00000000">
            <w:pPr>
              <w:spacing w:line="280" w:lineRule="auto"/>
            </w:pPr>
            <w:r>
              <w:rPr>
                <w:color w:val="1F2A1F"/>
              </w:rPr>
              <w:t>4 matching cards</w:t>
            </w:r>
          </w:p>
        </w:tc>
        <w:tc>
          <w:tcPr>
            <w:tcW w:w="4513" w:type="dxa"/>
            <w:tcBorders>
              <w:top w:val="single" w:sz="4" w:space="0" w:color="D6DBC9"/>
              <w:left w:val="single" w:sz="4" w:space="0" w:color="D6DBC9"/>
              <w:bottom w:val="single" w:sz="4" w:space="0" w:color="D6DBC9"/>
              <w:right w:val="single" w:sz="4" w:space="0" w:color="D6DBC9"/>
            </w:tcBorders>
            <w:tcMar>
              <w:top w:w="120" w:type="dxa"/>
              <w:left w:w="160" w:type="dxa"/>
              <w:bottom w:w="120" w:type="dxa"/>
              <w:right w:w="160" w:type="dxa"/>
            </w:tcMar>
            <w:vAlign w:val="center"/>
          </w:tcPr>
          <w:p w:rsidR="00D76DE3" w:rsidRDefault="00000000">
            <w:pPr>
              <w:spacing w:line="280" w:lineRule="auto"/>
            </w:pPr>
            <w:r>
              <w:rPr>
                <w:color w:val="1F2A1F"/>
              </w:rPr>
              <w:t>10 points</w:t>
            </w:r>
          </w:p>
        </w:tc>
      </w:tr>
    </w:tbl>
    <w:p w:rsidR="00D76DE3" w:rsidRDefault="00D76DE3">
      <w:pPr>
        <w:spacing w:after="80"/>
      </w:pPr>
    </w:p>
    <w:p w:rsidR="00D76DE3" w:rsidRDefault="00000000">
      <w:pPr>
        <w:spacing w:after="120" w:line="280" w:lineRule="auto"/>
        <w:jc w:val="both"/>
        <w:rPr>
          <w:i/>
          <w:iCs/>
          <w:color w:val="5C6B5C"/>
          <w:sz w:val="20"/>
          <w:szCs w:val="20"/>
        </w:rPr>
      </w:pPr>
      <w:r>
        <w:rPr>
          <w:i/>
          <w:iCs/>
          <w:color w:val="5C6B5C"/>
          <w:sz w:val="20"/>
          <w:szCs w:val="20"/>
        </w:rPr>
        <w:t>Example: 3 Cherry Tomato Seeds (6) + 2 Terracotta Pots (3) + 1 lone Watering Can (1) = 10 points.</w:t>
      </w:r>
    </w:p>
    <w:p w:rsidR="00457C7B" w:rsidRDefault="00457C7B">
      <w:pPr>
        <w:spacing w:after="120" w:line="280" w:lineRule="auto"/>
        <w:jc w:val="both"/>
        <w:rPr>
          <w:i/>
          <w:iCs/>
          <w:color w:val="5C6B5C"/>
          <w:sz w:val="20"/>
          <w:szCs w:val="20"/>
        </w:rPr>
      </w:pPr>
    </w:p>
    <w:p w:rsidR="00457C7B" w:rsidRDefault="00457C7B">
      <w:pPr>
        <w:spacing w:after="120" w:line="280" w:lineRule="auto"/>
        <w:jc w:val="both"/>
      </w:pPr>
    </w:p>
    <w:p w:rsidR="00D76DE3" w:rsidRDefault="00000000">
      <w:pPr>
        <w:pBdr>
          <w:bottom w:val="single" w:sz="8" w:space="4" w:color="97BC62"/>
        </w:pBdr>
        <w:spacing w:before="380" w:after="140"/>
      </w:pPr>
      <w:r>
        <w:rPr>
          <w:b/>
          <w:bCs/>
          <w:color w:val="2C5F2D"/>
          <w:sz w:val="28"/>
          <w:szCs w:val="28"/>
        </w:rPr>
        <w:lastRenderedPageBreak/>
        <w:t>Special Event Cards</w:t>
      </w:r>
    </w:p>
    <w:p w:rsidR="00D76DE3" w:rsidRDefault="00000000">
      <w:pPr>
        <w:spacing w:after="120" w:line="300" w:lineRule="auto"/>
        <w:jc w:val="both"/>
      </w:pPr>
      <w:r>
        <w:rPr>
          <w:color w:val="1F2A1F"/>
        </w:rPr>
        <w:t>Sometimes, instead of a resource card, you can claim a Special Event Card. Keep it face-up on your Windowsill. You can use it once, at any point in the game, to help your team. After use, the card is discarded.</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706"/>
        <w:gridCol w:w="6320"/>
      </w:tblGrid>
      <w:tr w:rsidR="00D76DE3">
        <w:tblPrEx>
          <w:tblCellMar>
            <w:top w:w="0" w:type="dxa"/>
            <w:bottom w:w="0" w:type="dxa"/>
          </w:tblCellMar>
        </w:tblPrEx>
        <w:trPr>
          <w:tblHeader/>
        </w:trPr>
        <w:tc>
          <w:tcPr>
            <w:tcW w:w="2706" w:type="dxa"/>
            <w:tcBorders>
              <w:top w:val="single" w:sz="4" w:space="0" w:color="D6DBC9"/>
              <w:left w:val="single" w:sz="4" w:space="0" w:color="D6DBC9"/>
              <w:bottom w:val="single" w:sz="4" w:space="0" w:color="D6DBC9"/>
              <w:right w:val="single" w:sz="4" w:space="0" w:color="D6DBC9"/>
            </w:tcBorders>
            <w:shd w:val="clear" w:color="auto" w:fill="D6DBC9"/>
            <w:tcMar>
              <w:top w:w="120" w:type="dxa"/>
              <w:left w:w="160" w:type="dxa"/>
              <w:bottom w:w="120" w:type="dxa"/>
              <w:right w:w="160" w:type="dxa"/>
            </w:tcMar>
            <w:vAlign w:val="center"/>
          </w:tcPr>
          <w:p w:rsidR="00D76DE3" w:rsidRDefault="00000000">
            <w:r>
              <w:rPr>
                <w:b/>
                <w:bCs/>
                <w:color w:val="2C5F2D"/>
              </w:rPr>
              <w:t>Card</w:t>
            </w:r>
          </w:p>
        </w:tc>
        <w:tc>
          <w:tcPr>
            <w:tcW w:w="6320" w:type="dxa"/>
            <w:tcBorders>
              <w:top w:val="single" w:sz="4" w:space="0" w:color="D6DBC9"/>
              <w:left w:val="single" w:sz="4" w:space="0" w:color="D6DBC9"/>
              <w:bottom w:val="single" w:sz="4" w:space="0" w:color="D6DBC9"/>
              <w:right w:val="single" w:sz="4" w:space="0" w:color="D6DBC9"/>
            </w:tcBorders>
            <w:shd w:val="clear" w:color="auto" w:fill="D6DBC9"/>
            <w:tcMar>
              <w:top w:w="120" w:type="dxa"/>
              <w:left w:w="160" w:type="dxa"/>
              <w:bottom w:w="120" w:type="dxa"/>
              <w:right w:w="160" w:type="dxa"/>
            </w:tcMar>
            <w:vAlign w:val="center"/>
          </w:tcPr>
          <w:p w:rsidR="00D76DE3" w:rsidRDefault="00000000">
            <w:r>
              <w:rPr>
                <w:b/>
                <w:bCs/>
                <w:color w:val="2C5F2D"/>
              </w:rPr>
              <w:t>What it does</w:t>
            </w:r>
          </w:p>
        </w:tc>
      </w:tr>
      <w:tr w:rsidR="00D76DE3">
        <w:tblPrEx>
          <w:tblCellMar>
            <w:top w:w="0" w:type="dxa"/>
            <w:bottom w:w="0" w:type="dxa"/>
          </w:tblCellMar>
        </w:tblPrEx>
        <w:trPr>
          <w:cantSplit/>
        </w:trPr>
        <w:tc>
          <w:tcPr>
            <w:tcW w:w="2706" w:type="dxa"/>
            <w:tcBorders>
              <w:top w:val="single" w:sz="4" w:space="0" w:color="D6DBC9"/>
              <w:left w:val="single" w:sz="4" w:space="0" w:color="D6DBC9"/>
              <w:bottom w:val="single" w:sz="4" w:space="0" w:color="D6DBC9"/>
              <w:right w:val="single" w:sz="4" w:space="0" w:color="D6DBC9"/>
            </w:tcBorders>
            <w:tcMar>
              <w:top w:w="120" w:type="dxa"/>
              <w:left w:w="160" w:type="dxa"/>
              <w:bottom w:w="120" w:type="dxa"/>
              <w:right w:w="160" w:type="dxa"/>
            </w:tcMar>
            <w:vAlign w:val="center"/>
          </w:tcPr>
          <w:p w:rsidR="00D76DE3" w:rsidRDefault="00000000">
            <w:pPr>
              <w:spacing w:line="280" w:lineRule="auto"/>
            </w:pPr>
            <w:r>
              <w:rPr>
                <w:b/>
                <w:bCs/>
                <w:color w:val="1F2A1F"/>
              </w:rPr>
              <w:t>Neighborly Donation</w:t>
            </w:r>
          </w:p>
        </w:tc>
        <w:tc>
          <w:tcPr>
            <w:tcW w:w="6320" w:type="dxa"/>
            <w:tcBorders>
              <w:top w:val="single" w:sz="4" w:space="0" w:color="D6DBC9"/>
              <w:left w:val="single" w:sz="4" w:space="0" w:color="D6DBC9"/>
              <w:bottom w:val="single" w:sz="4" w:space="0" w:color="D6DBC9"/>
              <w:right w:val="single" w:sz="4" w:space="0" w:color="D6DBC9"/>
            </w:tcBorders>
            <w:tcMar>
              <w:top w:w="120" w:type="dxa"/>
              <w:left w:w="160" w:type="dxa"/>
              <w:bottom w:w="120" w:type="dxa"/>
              <w:right w:w="160" w:type="dxa"/>
            </w:tcMar>
            <w:vAlign w:val="center"/>
          </w:tcPr>
          <w:p w:rsidR="00D76DE3" w:rsidRDefault="00000000">
            <w:pPr>
              <w:spacing w:line="280" w:lineRule="auto"/>
            </w:pPr>
            <w:r>
              <w:rPr>
                <w:color w:val="1F2A1F"/>
              </w:rPr>
              <w:t>Every player may (but doesn’t have to) give one of their own cards to a teammate who needs it.</w:t>
            </w:r>
          </w:p>
        </w:tc>
      </w:tr>
      <w:tr w:rsidR="00D76DE3">
        <w:tblPrEx>
          <w:tblCellMar>
            <w:top w:w="0" w:type="dxa"/>
            <w:bottom w:w="0" w:type="dxa"/>
          </w:tblCellMar>
        </w:tblPrEx>
        <w:trPr>
          <w:cantSplit/>
        </w:trPr>
        <w:tc>
          <w:tcPr>
            <w:tcW w:w="2706" w:type="dxa"/>
            <w:tcBorders>
              <w:top w:val="single" w:sz="4" w:space="0" w:color="D6DBC9"/>
              <w:left w:val="single" w:sz="4" w:space="0" w:color="D6DBC9"/>
              <w:bottom w:val="single" w:sz="4" w:space="0" w:color="D6DBC9"/>
              <w:right w:val="single" w:sz="4" w:space="0" w:color="D6DBC9"/>
            </w:tcBorders>
            <w:tcMar>
              <w:top w:w="120" w:type="dxa"/>
              <w:left w:w="160" w:type="dxa"/>
              <w:bottom w:w="120" w:type="dxa"/>
              <w:right w:w="160" w:type="dxa"/>
            </w:tcMar>
            <w:vAlign w:val="center"/>
          </w:tcPr>
          <w:p w:rsidR="00D76DE3" w:rsidRDefault="00000000">
            <w:pPr>
              <w:spacing w:line="280" w:lineRule="auto"/>
            </w:pPr>
            <w:r>
              <w:rPr>
                <w:b/>
                <w:bCs/>
                <w:color w:val="1F2A1F"/>
              </w:rPr>
              <w:t>Seed Swap</w:t>
            </w:r>
          </w:p>
        </w:tc>
        <w:tc>
          <w:tcPr>
            <w:tcW w:w="6320" w:type="dxa"/>
            <w:tcBorders>
              <w:top w:val="single" w:sz="4" w:space="0" w:color="D6DBC9"/>
              <w:left w:val="single" w:sz="4" w:space="0" w:color="D6DBC9"/>
              <w:bottom w:val="single" w:sz="4" w:space="0" w:color="D6DBC9"/>
              <w:right w:val="single" w:sz="4" w:space="0" w:color="D6DBC9"/>
            </w:tcBorders>
            <w:tcMar>
              <w:top w:w="120" w:type="dxa"/>
              <w:left w:w="160" w:type="dxa"/>
              <w:bottom w:w="120" w:type="dxa"/>
              <w:right w:w="160" w:type="dxa"/>
            </w:tcMar>
            <w:vAlign w:val="center"/>
          </w:tcPr>
          <w:p w:rsidR="00D76DE3" w:rsidRDefault="00000000">
            <w:pPr>
              <w:spacing w:line="280" w:lineRule="auto"/>
            </w:pPr>
            <w:r>
              <w:rPr>
                <w:color w:val="1F2A1F"/>
              </w:rPr>
              <w:t>Trade one of your cards with one of a teammate’s — both players must agree.</w:t>
            </w:r>
          </w:p>
        </w:tc>
      </w:tr>
      <w:tr w:rsidR="00D76DE3">
        <w:tblPrEx>
          <w:tblCellMar>
            <w:top w:w="0" w:type="dxa"/>
            <w:bottom w:w="0" w:type="dxa"/>
          </w:tblCellMar>
        </w:tblPrEx>
        <w:trPr>
          <w:cantSplit/>
        </w:trPr>
        <w:tc>
          <w:tcPr>
            <w:tcW w:w="2706" w:type="dxa"/>
            <w:tcBorders>
              <w:top w:val="single" w:sz="4" w:space="0" w:color="D6DBC9"/>
              <w:left w:val="single" w:sz="4" w:space="0" w:color="D6DBC9"/>
              <w:bottom w:val="single" w:sz="4" w:space="0" w:color="D6DBC9"/>
              <w:right w:val="single" w:sz="4" w:space="0" w:color="D6DBC9"/>
            </w:tcBorders>
            <w:tcMar>
              <w:top w:w="120" w:type="dxa"/>
              <w:left w:w="160" w:type="dxa"/>
              <w:bottom w:w="120" w:type="dxa"/>
              <w:right w:w="160" w:type="dxa"/>
            </w:tcMar>
            <w:vAlign w:val="center"/>
          </w:tcPr>
          <w:p w:rsidR="00D76DE3" w:rsidRDefault="00000000">
            <w:pPr>
              <w:spacing w:line="280" w:lineRule="auto"/>
            </w:pPr>
            <w:r>
              <w:rPr>
                <w:b/>
                <w:bCs/>
                <w:color w:val="1F2A1F"/>
              </w:rPr>
              <w:t>Harvest Potluck</w:t>
            </w:r>
          </w:p>
        </w:tc>
        <w:tc>
          <w:tcPr>
            <w:tcW w:w="6320" w:type="dxa"/>
            <w:tcBorders>
              <w:top w:val="single" w:sz="4" w:space="0" w:color="D6DBC9"/>
              <w:left w:val="single" w:sz="4" w:space="0" w:color="D6DBC9"/>
              <w:bottom w:val="single" w:sz="4" w:space="0" w:color="D6DBC9"/>
              <w:right w:val="single" w:sz="4" w:space="0" w:color="D6DBC9"/>
            </w:tcBorders>
            <w:tcMar>
              <w:top w:w="120" w:type="dxa"/>
              <w:left w:w="160" w:type="dxa"/>
              <w:bottom w:w="120" w:type="dxa"/>
              <w:right w:w="160" w:type="dxa"/>
            </w:tcMar>
            <w:vAlign w:val="center"/>
          </w:tcPr>
          <w:p w:rsidR="00D76DE3" w:rsidRDefault="00000000">
            <w:pPr>
              <w:spacing w:line="280" w:lineRule="auto"/>
            </w:pPr>
            <w:r>
              <w:rPr>
                <w:color w:val="1F2A1F"/>
              </w:rPr>
              <w:t>Everyone passes one of their cards to the person on their left, at the same time.</w:t>
            </w:r>
          </w:p>
        </w:tc>
      </w:tr>
      <w:tr w:rsidR="00D76DE3">
        <w:tblPrEx>
          <w:tblCellMar>
            <w:top w:w="0" w:type="dxa"/>
            <w:bottom w:w="0" w:type="dxa"/>
          </w:tblCellMar>
        </w:tblPrEx>
        <w:trPr>
          <w:cantSplit/>
        </w:trPr>
        <w:tc>
          <w:tcPr>
            <w:tcW w:w="2706" w:type="dxa"/>
            <w:tcBorders>
              <w:top w:val="single" w:sz="4" w:space="0" w:color="D6DBC9"/>
              <w:left w:val="single" w:sz="4" w:space="0" w:color="D6DBC9"/>
              <w:bottom w:val="single" w:sz="4" w:space="0" w:color="D6DBC9"/>
              <w:right w:val="single" w:sz="4" w:space="0" w:color="D6DBC9"/>
            </w:tcBorders>
            <w:tcMar>
              <w:top w:w="120" w:type="dxa"/>
              <w:left w:w="160" w:type="dxa"/>
              <w:bottom w:w="120" w:type="dxa"/>
              <w:right w:w="160" w:type="dxa"/>
            </w:tcMar>
            <w:vAlign w:val="center"/>
          </w:tcPr>
          <w:p w:rsidR="00D76DE3" w:rsidRDefault="00000000">
            <w:pPr>
              <w:spacing w:line="280" w:lineRule="auto"/>
            </w:pPr>
            <w:r>
              <w:rPr>
                <w:b/>
                <w:bCs/>
                <w:color w:val="1F2A1F"/>
              </w:rPr>
              <w:t>Community Assembly</w:t>
            </w:r>
          </w:p>
        </w:tc>
        <w:tc>
          <w:tcPr>
            <w:tcW w:w="6320" w:type="dxa"/>
            <w:tcBorders>
              <w:top w:val="single" w:sz="4" w:space="0" w:color="D6DBC9"/>
              <w:left w:val="single" w:sz="4" w:space="0" w:color="D6DBC9"/>
              <w:bottom w:val="single" w:sz="4" w:space="0" w:color="D6DBC9"/>
              <w:right w:val="single" w:sz="4" w:space="0" w:color="D6DBC9"/>
            </w:tcBorders>
            <w:tcMar>
              <w:top w:w="120" w:type="dxa"/>
              <w:left w:w="160" w:type="dxa"/>
              <w:bottom w:w="120" w:type="dxa"/>
              <w:right w:w="160" w:type="dxa"/>
            </w:tcMar>
            <w:vAlign w:val="center"/>
          </w:tcPr>
          <w:p w:rsidR="00D76DE3" w:rsidRDefault="00000000">
            <w:pPr>
              <w:spacing w:line="280" w:lineRule="auto"/>
            </w:pPr>
            <w:r>
              <w:rPr>
                <w:color w:val="1F2A1F"/>
              </w:rPr>
              <w:t>Play at the start of a turn. For that week only, everyone can talk openly and coordinate which cards to pick. Rock-Paper-Scissors is not used.</w:t>
            </w:r>
          </w:p>
        </w:tc>
      </w:tr>
    </w:tbl>
    <w:p w:rsidR="00D76DE3" w:rsidRDefault="00000000">
      <w:pPr>
        <w:pBdr>
          <w:bottom w:val="single" w:sz="8" w:space="4" w:color="97BC62"/>
        </w:pBdr>
        <w:spacing w:before="380" w:after="140"/>
      </w:pPr>
      <w:r>
        <w:rPr>
          <w:b/>
          <w:bCs/>
          <w:color w:val="2C5F2D"/>
          <w:sz w:val="28"/>
          <w:szCs w:val="28"/>
        </w:rPr>
        <w:t>How to Win</w:t>
      </w:r>
    </w:p>
    <w:p w:rsidR="00D76DE3" w:rsidRDefault="00000000">
      <w:pPr>
        <w:spacing w:after="120" w:line="300" w:lineRule="auto"/>
        <w:jc w:val="both"/>
      </w:pPr>
      <w:r>
        <w:rPr>
          <w:color w:val="1F2A1F"/>
        </w:rPr>
        <w:t>Talk to your team throughout the game — communication is this game’s most powerful tool, just as it is in real community gardens.</w:t>
      </w:r>
    </w:p>
    <w:p w:rsidR="00D76DE3" w:rsidRDefault="00000000">
      <w:pPr>
        <w:pStyle w:val="ListParagraph"/>
        <w:numPr>
          <w:ilvl w:val="0"/>
          <w:numId w:val="3"/>
        </w:numPr>
        <w:spacing w:after="80" w:line="290" w:lineRule="auto"/>
      </w:pPr>
      <w:r>
        <w:rPr>
          <w:b/>
          <w:bCs/>
          <w:color w:val="1F2A1F"/>
        </w:rPr>
        <w:t xml:space="preserve">Early Harvest: </w:t>
      </w:r>
      <w:r>
        <w:rPr>
          <w:color w:val="1F2A1F"/>
        </w:rPr>
        <w:t>If you think your combined points have reached the target score (80, 100 or 120), you can declare an Early Harvest and win the game immediately.</w:t>
      </w:r>
    </w:p>
    <w:p w:rsidR="00D76DE3" w:rsidRDefault="00000000">
      <w:pPr>
        <w:pStyle w:val="ListParagraph"/>
        <w:numPr>
          <w:ilvl w:val="0"/>
          <w:numId w:val="3"/>
        </w:numPr>
        <w:spacing w:after="80" w:line="290" w:lineRule="auto"/>
      </w:pPr>
      <w:r>
        <w:rPr>
          <w:b/>
          <w:bCs/>
          <w:color w:val="1F2A1F"/>
        </w:rPr>
        <w:t xml:space="preserve">End of Season: </w:t>
      </w:r>
      <w:r>
        <w:rPr>
          <w:color w:val="1F2A1F"/>
        </w:rPr>
        <w:t>If you don’t declare an Early Harvest, at the end of week 20 tally up your final score together and check whether you’ve reached the target.</w:t>
      </w:r>
    </w:p>
    <w:p w:rsidR="00D76DE3" w:rsidRDefault="00000000">
      <w:pPr>
        <w:spacing w:before="320"/>
        <w:jc w:val="center"/>
      </w:pPr>
      <w:r>
        <w:rPr>
          <w:b/>
          <w:bCs/>
          <w:i/>
          <w:iCs/>
          <w:color w:val="2C5F2D"/>
          <w:sz w:val="26"/>
          <w:szCs w:val="26"/>
        </w:rPr>
        <w:t>Good luck, gardeners!</w:t>
      </w:r>
    </w:p>
    <w:sectPr w:rsidR="00D76DE3">
      <w:headerReference w:type="default" r:id="rId7"/>
      <w:footerReference w:type="default" r:id="rId8"/>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22847" w:rsidRDefault="00322847">
      <w:r>
        <w:separator/>
      </w:r>
    </w:p>
  </w:endnote>
  <w:endnote w:type="continuationSeparator" w:id="0">
    <w:p w:rsidR="00322847" w:rsidRDefault="00322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76DE3" w:rsidRDefault="00000000">
    <w:pPr>
      <w:jc w:val="center"/>
    </w:pPr>
    <w:r>
      <w:rPr>
        <w:color w:val="5C6B5C"/>
        <w:sz w:val="16"/>
        <w:szCs w:val="16"/>
      </w:rPr>
      <w:t xml:space="preserve">InclusiGardens · Windowsill Wonders · game rules · p. </w:t>
    </w:r>
    <w:r>
      <w:rPr>
        <w:color w:val="5C6B5C"/>
        <w:sz w:val="16"/>
        <w:szCs w:val="16"/>
      </w:rPr>
      <w:fldChar w:fldCharType="begin"/>
    </w:r>
    <w:r>
      <w:rPr>
        <w:color w:val="5C6B5C"/>
        <w:sz w:val="16"/>
        <w:szCs w:val="16"/>
      </w:rPr>
      <w:instrText>PAGE</w:instrText>
    </w:r>
    <w:r>
      <w:rPr>
        <w:color w:val="5C6B5C"/>
        <w:sz w:val="16"/>
        <w:szCs w:val="16"/>
      </w:rPr>
      <w:fldChar w:fldCharType="separate"/>
    </w:r>
    <w:r w:rsidR="00457C7B">
      <w:rPr>
        <w:noProof/>
        <w:color w:val="5C6B5C"/>
        <w:sz w:val="16"/>
        <w:szCs w:val="16"/>
      </w:rPr>
      <w:t>1</w:t>
    </w:r>
    <w:r>
      <w:rPr>
        <w:color w:val="5C6B5C"/>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22847" w:rsidRDefault="00322847">
      <w:r>
        <w:separator/>
      </w:r>
    </w:p>
  </w:footnote>
  <w:footnote w:type="continuationSeparator" w:id="0">
    <w:p w:rsidR="00322847" w:rsidRDefault="003228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5164"/>
      <w:gridCol w:w="3006"/>
    </w:tblGrid>
    <w:tr w:rsidR="00457C7B" w:rsidTr="00661415">
      <w:tc>
        <w:tcPr>
          <w:tcW w:w="846" w:type="dxa"/>
          <w:vAlign w:val="center"/>
        </w:tcPr>
        <w:p w:rsidR="00457C7B" w:rsidRDefault="00457C7B" w:rsidP="00457C7B">
          <w:pPr>
            <w:pStyle w:val="Header"/>
          </w:pPr>
          <w:r>
            <w:fldChar w:fldCharType="begin"/>
          </w:r>
          <w:r>
            <w:instrText xml:space="preserve"> INCLUDEPICTURE "https://inclusigardens.pou-cakovec.hr/wp-content/uploads/2025/02/InGard_Logo_Transparent.png" \* MERGEFORMATINET </w:instrText>
          </w:r>
          <w:r>
            <w:fldChar w:fldCharType="separate"/>
          </w:r>
          <w:r>
            <w:rPr>
              <w:noProof/>
            </w:rPr>
            <w:drawing>
              <wp:inline distT="0" distB="0" distL="0" distR="0" wp14:anchorId="4860ADF3" wp14:editId="3FFE1A7F">
                <wp:extent cx="397489" cy="395640"/>
                <wp:effectExtent l="0" t="0" r="0" b="0"/>
                <wp:docPr id="1547432991" name="Picture 2" descr="A logo of hands with a leaf&#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432991" name="Picture 2" descr="A logo of hands with a leaf&#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7489" cy="395640"/>
                        </a:xfrm>
                        <a:prstGeom prst="rect">
                          <a:avLst/>
                        </a:prstGeom>
                        <a:noFill/>
                        <a:ln>
                          <a:noFill/>
                        </a:ln>
                      </pic:spPr>
                    </pic:pic>
                  </a:graphicData>
                </a:graphic>
              </wp:inline>
            </w:drawing>
          </w:r>
          <w:r>
            <w:fldChar w:fldCharType="end"/>
          </w:r>
        </w:p>
      </w:tc>
      <w:tc>
        <w:tcPr>
          <w:tcW w:w="5164" w:type="dxa"/>
          <w:vAlign w:val="center"/>
        </w:tcPr>
        <w:p w:rsidR="00457C7B" w:rsidRPr="008C7825" w:rsidRDefault="00457C7B" w:rsidP="00457C7B">
          <w:pPr>
            <w:pStyle w:val="Header"/>
            <w:contextualSpacing/>
            <w:rPr>
              <w:b/>
              <w:bCs/>
              <w:color w:val="0E2841" w:themeColor="text2"/>
              <w:sz w:val="32"/>
              <w:szCs w:val="32"/>
            </w:rPr>
          </w:pPr>
          <w:r w:rsidRPr="008C7825">
            <w:rPr>
              <w:b/>
              <w:bCs/>
              <w:color w:val="0E2841" w:themeColor="text2"/>
              <w:sz w:val="32"/>
              <w:szCs w:val="32"/>
            </w:rPr>
            <w:t>InclusiGardens</w:t>
          </w:r>
        </w:p>
      </w:tc>
      <w:tc>
        <w:tcPr>
          <w:tcW w:w="3006" w:type="dxa"/>
        </w:tcPr>
        <w:p w:rsidR="00457C7B" w:rsidRDefault="00457C7B" w:rsidP="00457C7B">
          <w:pPr>
            <w:pStyle w:val="Header"/>
            <w:jc w:val="right"/>
          </w:pPr>
          <w:r>
            <w:fldChar w:fldCharType="begin"/>
          </w:r>
          <w:r>
            <w:instrText xml:space="preserve"> INCLUDEPICTURE "https://gamifieded.pou-cakovec.hr/wp-content/uploads/2026/02/HR_Co-fundedbytheEU_RGB_POS-scaled.png" \* MERGEFORMATINET </w:instrText>
          </w:r>
          <w:r>
            <w:fldChar w:fldCharType="separate"/>
          </w:r>
          <w:r>
            <w:rPr>
              <w:noProof/>
            </w:rPr>
            <w:drawing>
              <wp:inline distT="0" distB="0" distL="0" distR="0" wp14:anchorId="124B3E1A" wp14:editId="6B9A1541">
                <wp:extent cx="1506771" cy="335515"/>
                <wp:effectExtent l="0" t="0" r="0" b="0"/>
                <wp:docPr id="913851094" name="Picture 1" descr="Blu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3851094" name="Picture 1" descr="Blue text on a black background&#10;&#10;AI-generated content may be incorrect."/>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506771" cy="335515"/>
                        </a:xfrm>
                        <a:prstGeom prst="rect">
                          <a:avLst/>
                        </a:prstGeom>
                        <a:noFill/>
                        <a:ln>
                          <a:noFill/>
                        </a:ln>
                      </pic:spPr>
                    </pic:pic>
                  </a:graphicData>
                </a:graphic>
              </wp:inline>
            </w:drawing>
          </w:r>
          <w:r>
            <w:fldChar w:fldCharType="end"/>
          </w:r>
        </w:p>
      </w:tc>
    </w:tr>
  </w:tbl>
  <w:p w:rsidR="00457C7B" w:rsidRDefault="00457C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E0783"/>
    <w:multiLevelType w:val="hybridMultilevel"/>
    <w:tmpl w:val="BD668C08"/>
    <w:lvl w:ilvl="0" w:tplc="A05A1A70">
      <w:start w:val="1"/>
      <w:numFmt w:val="bullet"/>
      <w:lvlText w:val="●"/>
      <w:lvlJc w:val="left"/>
      <w:pPr>
        <w:ind w:left="720" w:hanging="360"/>
      </w:pPr>
    </w:lvl>
    <w:lvl w:ilvl="1" w:tplc="AD506268">
      <w:start w:val="1"/>
      <w:numFmt w:val="bullet"/>
      <w:lvlText w:val="○"/>
      <w:lvlJc w:val="left"/>
      <w:pPr>
        <w:ind w:left="1440" w:hanging="360"/>
      </w:pPr>
    </w:lvl>
    <w:lvl w:ilvl="2" w:tplc="C6B22ABA">
      <w:start w:val="1"/>
      <w:numFmt w:val="bullet"/>
      <w:lvlText w:val="■"/>
      <w:lvlJc w:val="left"/>
      <w:pPr>
        <w:ind w:left="2160" w:hanging="360"/>
      </w:pPr>
    </w:lvl>
    <w:lvl w:ilvl="3" w:tplc="8BD87B5E">
      <w:start w:val="1"/>
      <w:numFmt w:val="bullet"/>
      <w:lvlText w:val="●"/>
      <w:lvlJc w:val="left"/>
      <w:pPr>
        <w:ind w:left="2880" w:hanging="360"/>
      </w:pPr>
    </w:lvl>
    <w:lvl w:ilvl="4" w:tplc="6AF49778">
      <w:start w:val="1"/>
      <w:numFmt w:val="bullet"/>
      <w:lvlText w:val="○"/>
      <w:lvlJc w:val="left"/>
      <w:pPr>
        <w:ind w:left="3600" w:hanging="360"/>
      </w:pPr>
    </w:lvl>
    <w:lvl w:ilvl="5" w:tplc="414EC2B0">
      <w:start w:val="1"/>
      <w:numFmt w:val="bullet"/>
      <w:lvlText w:val="■"/>
      <w:lvlJc w:val="left"/>
      <w:pPr>
        <w:ind w:left="4320" w:hanging="360"/>
      </w:pPr>
    </w:lvl>
    <w:lvl w:ilvl="6" w:tplc="6D0E2A56">
      <w:start w:val="1"/>
      <w:numFmt w:val="bullet"/>
      <w:lvlText w:val="●"/>
      <w:lvlJc w:val="left"/>
      <w:pPr>
        <w:ind w:left="5040" w:hanging="360"/>
      </w:pPr>
    </w:lvl>
    <w:lvl w:ilvl="7" w:tplc="ABDA7728">
      <w:start w:val="1"/>
      <w:numFmt w:val="bullet"/>
      <w:lvlText w:val="●"/>
      <w:lvlJc w:val="left"/>
      <w:pPr>
        <w:ind w:left="5760" w:hanging="360"/>
      </w:pPr>
    </w:lvl>
    <w:lvl w:ilvl="8" w:tplc="B726BFD4">
      <w:start w:val="1"/>
      <w:numFmt w:val="bullet"/>
      <w:lvlText w:val="●"/>
      <w:lvlJc w:val="left"/>
      <w:pPr>
        <w:ind w:left="6480" w:hanging="360"/>
      </w:pPr>
    </w:lvl>
  </w:abstractNum>
  <w:abstractNum w:abstractNumId="1" w15:restartNumberingAfterBreak="0">
    <w:nsid w:val="1E706E9B"/>
    <w:multiLevelType w:val="hybridMultilevel"/>
    <w:tmpl w:val="FE128292"/>
    <w:lvl w:ilvl="0" w:tplc="96C6BA7A">
      <w:start w:val="1"/>
      <w:numFmt w:val="bullet"/>
      <w:lvlText w:val="•"/>
      <w:lvlJc w:val="left"/>
      <w:pPr>
        <w:ind w:left="540" w:hanging="270"/>
      </w:pPr>
    </w:lvl>
    <w:lvl w:ilvl="1" w:tplc="4C68B7B6">
      <w:numFmt w:val="decimal"/>
      <w:lvlText w:val=""/>
      <w:lvlJc w:val="left"/>
    </w:lvl>
    <w:lvl w:ilvl="2" w:tplc="60B42DC6">
      <w:numFmt w:val="decimal"/>
      <w:lvlText w:val=""/>
      <w:lvlJc w:val="left"/>
    </w:lvl>
    <w:lvl w:ilvl="3" w:tplc="8B083336">
      <w:numFmt w:val="decimal"/>
      <w:lvlText w:val=""/>
      <w:lvlJc w:val="left"/>
    </w:lvl>
    <w:lvl w:ilvl="4" w:tplc="1FD45A4A">
      <w:numFmt w:val="decimal"/>
      <w:lvlText w:val=""/>
      <w:lvlJc w:val="left"/>
    </w:lvl>
    <w:lvl w:ilvl="5" w:tplc="5FA6EFA4">
      <w:numFmt w:val="decimal"/>
      <w:lvlText w:val=""/>
      <w:lvlJc w:val="left"/>
    </w:lvl>
    <w:lvl w:ilvl="6" w:tplc="1DC8E1BE">
      <w:numFmt w:val="decimal"/>
      <w:lvlText w:val=""/>
      <w:lvlJc w:val="left"/>
    </w:lvl>
    <w:lvl w:ilvl="7" w:tplc="C0341EC8">
      <w:numFmt w:val="decimal"/>
      <w:lvlText w:val=""/>
      <w:lvlJc w:val="left"/>
    </w:lvl>
    <w:lvl w:ilvl="8" w:tplc="5EE4DCF4">
      <w:numFmt w:val="decimal"/>
      <w:lvlText w:val=""/>
      <w:lvlJc w:val="left"/>
    </w:lvl>
  </w:abstractNum>
  <w:abstractNum w:abstractNumId="2" w15:restartNumberingAfterBreak="0">
    <w:nsid w:val="311407CE"/>
    <w:multiLevelType w:val="hybridMultilevel"/>
    <w:tmpl w:val="54CA21CC"/>
    <w:lvl w:ilvl="0" w:tplc="F2008C2E">
      <w:start w:val="1"/>
      <w:numFmt w:val="bullet"/>
      <w:lvlText w:val="·"/>
      <w:lvlJc w:val="left"/>
      <w:pPr>
        <w:ind w:left="360" w:hanging="220"/>
      </w:pPr>
    </w:lvl>
    <w:lvl w:ilvl="1" w:tplc="210ACF04">
      <w:numFmt w:val="decimal"/>
      <w:lvlText w:val=""/>
      <w:lvlJc w:val="left"/>
    </w:lvl>
    <w:lvl w:ilvl="2" w:tplc="604A8EE2">
      <w:numFmt w:val="decimal"/>
      <w:lvlText w:val=""/>
      <w:lvlJc w:val="left"/>
    </w:lvl>
    <w:lvl w:ilvl="3" w:tplc="F0AED5C2">
      <w:numFmt w:val="decimal"/>
      <w:lvlText w:val=""/>
      <w:lvlJc w:val="left"/>
    </w:lvl>
    <w:lvl w:ilvl="4" w:tplc="FC62DED2">
      <w:numFmt w:val="decimal"/>
      <w:lvlText w:val=""/>
      <w:lvlJc w:val="left"/>
    </w:lvl>
    <w:lvl w:ilvl="5" w:tplc="E116AFFA">
      <w:numFmt w:val="decimal"/>
      <w:lvlText w:val=""/>
      <w:lvlJc w:val="left"/>
    </w:lvl>
    <w:lvl w:ilvl="6" w:tplc="9628ED76">
      <w:numFmt w:val="decimal"/>
      <w:lvlText w:val=""/>
      <w:lvlJc w:val="left"/>
    </w:lvl>
    <w:lvl w:ilvl="7" w:tplc="5E1A8142">
      <w:numFmt w:val="decimal"/>
      <w:lvlText w:val=""/>
      <w:lvlJc w:val="left"/>
    </w:lvl>
    <w:lvl w:ilvl="8" w:tplc="4834793C">
      <w:numFmt w:val="decimal"/>
      <w:lvlText w:val=""/>
      <w:lvlJc w:val="left"/>
    </w:lvl>
  </w:abstractNum>
  <w:num w:numId="1" w16cid:durableId="715550412">
    <w:abstractNumId w:val="0"/>
    <w:lvlOverride w:ilvl="0">
      <w:startOverride w:val="1"/>
    </w:lvlOverride>
  </w:num>
  <w:num w:numId="2" w16cid:durableId="281502393">
    <w:abstractNumId w:val="2"/>
    <w:lvlOverride w:ilvl="0">
      <w:startOverride w:val="1"/>
    </w:lvlOverride>
  </w:num>
  <w:num w:numId="3" w16cid:durableId="1577473016">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DE3"/>
    <w:rsid w:val="00322847"/>
    <w:rsid w:val="00457C7B"/>
    <w:rsid w:val="006C01F1"/>
    <w:rsid w:val="00D76D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A89C4C4"/>
  <w15:docId w15:val="{D616C87E-F119-984A-A4C0-490CED9F8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457C7B"/>
    <w:pPr>
      <w:tabs>
        <w:tab w:val="center" w:pos="4680"/>
        <w:tab w:val="right" w:pos="9360"/>
      </w:tabs>
    </w:pPr>
  </w:style>
  <w:style w:type="character" w:customStyle="1" w:styleId="HeaderChar">
    <w:name w:val="Header Char"/>
    <w:basedOn w:val="DefaultParagraphFont"/>
    <w:link w:val="Header"/>
    <w:uiPriority w:val="99"/>
    <w:rsid w:val="00457C7B"/>
  </w:style>
  <w:style w:type="paragraph" w:styleId="Footer">
    <w:name w:val="footer"/>
    <w:basedOn w:val="Normal"/>
    <w:link w:val="FooterChar"/>
    <w:uiPriority w:val="99"/>
    <w:unhideWhenUsed/>
    <w:rsid w:val="00457C7B"/>
    <w:pPr>
      <w:tabs>
        <w:tab w:val="center" w:pos="4680"/>
        <w:tab w:val="right" w:pos="9360"/>
      </w:tabs>
    </w:pPr>
  </w:style>
  <w:style w:type="character" w:customStyle="1" w:styleId="FooterChar">
    <w:name w:val="Footer Char"/>
    <w:basedOn w:val="DefaultParagraphFont"/>
    <w:link w:val="Footer"/>
    <w:uiPriority w:val="99"/>
    <w:rsid w:val="00457C7B"/>
  </w:style>
  <w:style w:type="table" w:styleId="TableGrid">
    <w:name w:val="Table Grid"/>
    <w:basedOn w:val="TableNormal"/>
    <w:uiPriority w:val="39"/>
    <w:rsid w:val="00457C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708</Words>
  <Characters>4036</Characters>
  <Application>Microsoft Office Word</Application>
  <DocSecurity>0</DocSecurity>
  <Lines>33</Lines>
  <Paragraphs>9</Paragraphs>
  <ScaleCrop>false</ScaleCrop>
  <Company/>
  <LinksUpToDate>false</LinksUpToDate>
  <CharactersWithSpaces>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Windowsill Wonders — Game Rules</dc:title>
  <dc:creator>InclusiGardens</dc:creator>
  <cp:lastModifiedBy>Ivica Jeđud</cp:lastModifiedBy>
  <cp:revision>2</cp:revision>
  <dcterms:created xsi:type="dcterms:W3CDTF">2026-05-19T16:39:00Z</dcterms:created>
  <dcterms:modified xsi:type="dcterms:W3CDTF">2026-05-19T17:28:00Z</dcterms:modified>
</cp:coreProperties>
</file>